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21884">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0FCE1E59">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US" w:eastAsia="zh-CN"/>
        </w:rPr>
      </w:pPr>
    </w:p>
    <w:p w14:paraId="352F608F">
      <w:pPr>
        <w:keepNext w:val="0"/>
        <w:keepLines w:val="0"/>
        <w:pageBreakBefore w:val="0"/>
        <w:widowControl w:val="0"/>
        <w:kinsoku/>
        <w:wordWrap/>
        <w:overflowPunct w:val="0"/>
        <w:topLinePunct w:val="0"/>
        <w:autoSpaceDE/>
        <w:autoSpaceDN/>
        <w:bidi w:val="0"/>
        <w:adjustRightInd/>
        <w:snapToGrid/>
        <w:spacing w:line="600" w:lineRule="exact"/>
        <w:jc w:val="center"/>
        <w:rPr>
          <w:rFonts w:hint="default" w:ascii="Times New Roman" w:hAnsi="Times New Roman" w:eastAsia="华文中宋"/>
          <w:b/>
          <w:sz w:val="36"/>
          <w:szCs w:val="36"/>
          <w:lang w:val="en-US" w:eastAsia="zh-CN"/>
        </w:rPr>
      </w:pPr>
      <w:r>
        <w:rPr>
          <w:rFonts w:hint="eastAsia" w:ascii="Times New Roman" w:hAnsi="Times New Roman" w:eastAsia="华文中宋"/>
          <w:b/>
          <w:sz w:val="36"/>
          <w:szCs w:val="36"/>
          <w:lang w:eastAsia="zh-CN"/>
        </w:rPr>
        <w:t>农业农村部国际交流服务中心研究</w:t>
      </w:r>
      <w:r>
        <w:rPr>
          <w:rFonts w:hint="eastAsia" w:ascii="Times New Roman" w:hAnsi="Times New Roman" w:eastAsia="华文中宋"/>
          <w:b/>
          <w:sz w:val="36"/>
          <w:szCs w:val="36"/>
        </w:rPr>
        <w:t>课题</w:t>
      </w:r>
      <w:r>
        <w:rPr>
          <w:rFonts w:hint="eastAsia" w:ascii="Times New Roman" w:hAnsi="Times New Roman" w:eastAsia="华文中宋"/>
          <w:b/>
          <w:sz w:val="36"/>
          <w:szCs w:val="36"/>
          <w:lang w:eastAsia="zh-CN"/>
        </w:rPr>
        <w:t>方向目录</w:t>
      </w:r>
      <w:r>
        <w:rPr>
          <w:rFonts w:hint="eastAsia" w:ascii="Times New Roman" w:hAnsi="Times New Roman" w:eastAsia="华文中宋"/>
          <w:b/>
          <w:sz w:val="36"/>
          <w:szCs w:val="36"/>
          <w:lang w:eastAsia="zh-CN"/>
        </w:rPr>
        <w:br w:type="textWrapping"/>
      </w:r>
      <w:r>
        <w:rPr>
          <w:rFonts w:hint="eastAsia" w:ascii="Times New Roman" w:hAnsi="Times New Roman" w:eastAsia="楷体_GB2312"/>
          <w:b/>
          <w:kern w:val="2"/>
          <w:sz w:val="36"/>
          <w:szCs w:val="36"/>
          <w:lang w:eastAsia="zh-CN"/>
        </w:rPr>
        <w:t>（</w:t>
      </w:r>
      <w:r>
        <w:rPr>
          <w:rFonts w:hint="eastAsia" w:ascii="Times New Roman" w:hAnsi="Times New Roman" w:eastAsia="楷体_GB2312"/>
          <w:b/>
          <w:kern w:val="2"/>
          <w:sz w:val="36"/>
          <w:szCs w:val="36"/>
          <w:lang w:val="en-US" w:eastAsia="zh-CN"/>
        </w:rPr>
        <w:t>202</w:t>
      </w:r>
      <w:r>
        <w:rPr>
          <w:rFonts w:hint="eastAsia" w:eastAsia="楷体_GB2312"/>
          <w:b/>
          <w:kern w:val="2"/>
          <w:sz w:val="36"/>
          <w:szCs w:val="36"/>
          <w:lang w:val="en-US" w:eastAsia="zh-CN"/>
        </w:rPr>
        <w:t>6</w:t>
      </w:r>
      <w:r>
        <w:rPr>
          <w:rFonts w:hint="eastAsia" w:ascii="Times New Roman" w:hAnsi="Times New Roman" w:eastAsia="楷体_GB2312"/>
          <w:b/>
          <w:kern w:val="2"/>
          <w:sz w:val="36"/>
          <w:szCs w:val="36"/>
          <w:lang w:val="en-US" w:eastAsia="zh-CN"/>
        </w:rPr>
        <w:t>年度</w:t>
      </w:r>
      <w:r>
        <w:rPr>
          <w:rFonts w:hint="eastAsia" w:ascii="Times New Roman" w:hAnsi="Times New Roman" w:eastAsia="楷体_GB2312"/>
          <w:b/>
          <w:kern w:val="2"/>
          <w:sz w:val="36"/>
          <w:szCs w:val="36"/>
          <w:lang w:eastAsia="zh-CN"/>
        </w:rPr>
        <w:t>）</w:t>
      </w:r>
    </w:p>
    <w:p w14:paraId="1ED6BA2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华文中宋" w:cs="Times New Roman"/>
          <w:b/>
          <w:bCs/>
          <w:sz w:val="36"/>
          <w:szCs w:val="36"/>
          <w:lang w:val="en-US" w:eastAsia="zh-CN"/>
        </w:rPr>
      </w:pPr>
    </w:p>
    <w:p w14:paraId="4A15534D">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b w:val="0"/>
          <w:bCs w:val="0"/>
          <w:sz w:val="32"/>
          <w:szCs w:val="32"/>
          <w:lang w:val="en-US" w:eastAsia="zh-CN"/>
        </w:rPr>
        <w:t>一、</w:t>
      </w:r>
      <w:r>
        <w:rPr>
          <w:rFonts w:hint="eastAsia" w:ascii="Times New Roman" w:hAnsi="Times New Roman" w:eastAsia="黑体" w:cs="Times New Roman"/>
          <w:b w:val="0"/>
          <w:bCs w:val="0"/>
          <w:sz w:val="32"/>
          <w:szCs w:val="32"/>
          <w:lang w:val="en-US" w:eastAsia="zh-CN"/>
        </w:rPr>
        <w:t>全球重要农业文化遗产指导思想、政策法规与传承创新</w:t>
      </w:r>
      <w:r>
        <w:rPr>
          <w:rFonts w:hint="default" w:ascii="Times New Roman" w:hAnsi="Times New Roman" w:eastAsia="黑体" w:cs="Times New Roman"/>
          <w:b w:val="0"/>
          <w:bCs w:val="0"/>
          <w:sz w:val="32"/>
          <w:szCs w:val="32"/>
          <w:lang w:val="en-US" w:eastAsia="zh-CN"/>
        </w:rPr>
        <w:t>方向</w:t>
      </w:r>
    </w:p>
    <w:p w14:paraId="405DB36D">
      <w:pPr>
        <w:keepNext w:val="0"/>
        <w:keepLines w:val="0"/>
        <w:pageBreakBefore w:val="0"/>
        <w:widowControl w:val="0"/>
        <w:numPr>
          <w:ilvl w:val="0"/>
          <w:numId w:val="1"/>
        </w:numPr>
        <w:kinsoku/>
        <w:wordWrap/>
        <w:overflowPunct w:val="0"/>
        <w:topLinePunct w:val="0"/>
        <w:autoSpaceDE/>
        <w:autoSpaceDN/>
        <w:bidi w:val="0"/>
        <w:adjustRightInd/>
        <w:snapToGrid/>
        <w:spacing w:line="62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vertAlign w:val="baseline"/>
          <w:lang w:val="en-US" w:eastAsia="zh-CN"/>
        </w:rPr>
        <w:t>习近平新时代中国特色社会主义思想指引下全球重要农业文化遗产理论体系构建与实践路径研究</w:t>
      </w:r>
    </w:p>
    <w:p w14:paraId="0AFC1F63">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textAlignment w:val="auto"/>
        <w:rPr>
          <w:rFonts w:hint="eastAsia"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立足中华民族伟大复兴战略全局，全面系统梳理习近平总书记从基层实践到治国理政中关于全球重要农业文化遗产的重要论述脉络，阐释其蕴含的生态文明、文化自信及大国外交等核心要义，构建全球重要农业文化遗产事业发展的理论框架。深入研究习近平新时代中国特色社会主义思想对我国全球重要农业文化遗产保护、活态传承、乡村振兴的指导作用与转化机制，为我国全球重要农业文化遗产保护与发展事业提供理论支撑与行动指南。</w:t>
      </w:r>
    </w:p>
    <w:p w14:paraId="21CAB223">
      <w:pPr>
        <w:pStyle w:val="2"/>
        <w:numPr>
          <w:ilvl w:val="0"/>
          <w:numId w:val="1"/>
        </w:numPr>
        <w:spacing w:line="620" w:lineRule="exact"/>
        <w:ind w:firstLine="643" w:firstLineChars="200"/>
        <w:textAlignment w:val="baseline"/>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全球重要农业文化遗产服务乡村文化振兴指数研究</w:t>
      </w:r>
    </w:p>
    <w:p w14:paraId="6520B09B">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构建科学、系统的评估指标体系，量化分析全球重要农业文化遗产在赋能当代乡村文化振兴中的实际效能</w:t>
      </w:r>
      <w:r>
        <w:rPr>
          <w:rFonts w:hint="eastAsia" w:ascii="Times New Roman" w:hAnsi="Times New Roman" w:eastAsia="仿宋_GB2312" w:cs="Times New Roman"/>
          <w:b w:val="0"/>
          <w:bCs w:val="0"/>
          <w:sz w:val="32"/>
          <w:szCs w:val="32"/>
          <w:vertAlign w:val="baseline"/>
          <w:lang w:val="en-US" w:eastAsia="zh-CN"/>
        </w:rPr>
        <w:t>，</w:t>
      </w:r>
      <w:r>
        <w:rPr>
          <w:rFonts w:hint="default" w:ascii="Times New Roman" w:hAnsi="Times New Roman" w:eastAsia="仿宋_GB2312" w:cs="Times New Roman"/>
          <w:b w:val="0"/>
          <w:bCs w:val="0"/>
          <w:sz w:val="32"/>
          <w:szCs w:val="32"/>
          <w:vertAlign w:val="baseline"/>
          <w:lang w:val="en-US" w:eastAsia="zh-CN"/>
        </w:rPr>
        <w:t>通过指数化的评价手段，揭示农业文化遗产在促进乡风文明、增强文化自信及驱动乡村内生发展方面的内在机理与贡献度，为政策制定与优化提供数据支撑与理论依据。</w:t>
      </w:r>
    </w:p>
    <w:p w14:paraId="24A0A823">
      <w:pPr>
        <w:keepNext w:val="0"/>
        <w:keepLines w:val="0"/>
        <w:pageBreakBefore w:val="0"/>
        <w:widowControl w:val="0"/>
        <w:numPr>
          <w:ilvl w:val="0"/>
          <w:numId w:val="1"/>
        </w:numPr>
        <w:kinsoku/>
        <w:wordWrap/>
        <w:overflowPunct w:val="0"/>
        <w:topLinePunct w:val="0"/>
        <w:autoSpaceDE/>
        <w:autoSpaceDN/>
        <w:bidi w:val="0"/>
        <w:adjustRightInd/>
        <w:snapToGrid/>
        <w:spacing w:line="620" w:lineRule="exact"/>
        <w:ind w:left="0" w:leftChars="0" w:firstLine="643" w:firstLineChars="200"/>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我国全球重要农业文化遗产保护发展的政策法规制度供给研究</w:t>
      </w:r>
    </w:p>
    <w:p w14:paraId="5212F8F8">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基于</w:t>
      </w:r>
      <w:r>
        <w:rPr>
          <w:rFonts w:hint="default" w:ascii="Times New Roman" w:hAnsi="Times New Roman" w:eastAsia="仿宋_GB2312" w:cs="Times New Roman"/>
          <w:b w:val="0"/>
          <w:bCs w:val="0"/>
          <w:sz w:val="32"/>
          <w:szCs w:val="32"/>
          <w:vertAlign w:val="baseline"/>
          <w:lang w:val="en-US" w:eastAsia="zh-CN"/>
        </w:rPr>
        <w:t>我国全球重要农业文化遗产保护传承的现实需求，梳理</w:t>
      </w:r>
      <w:r>
        <w:rPr>
          <w:rFonts w:hint="eastAsia" w:ascii="Times New Roman" w:hAnsi="Times New Roman" w:eastAsia="仿宋_GB2312" w:cs="Times New Roman"/>
          <w:b w:val="0"/>
          <w:bCs w:val="0"/>
          <w:sz w:val="32"/>
          <w:szCs w:val="32"/>
          <w:vertAlign w:val="baseline"/>
          <w:lang w:val="en-US" w:eastAsia="zh-CN"/>
        </w:rPr>
        <w:t>国家和地方层面</w:t>
      </w:r>
      <w:r>
        <w:rPr>
          <w:rFonts w:hint="default" w:ascii="Times New Roman" w:hAnsi="Times New Roman" w:eastAsia="仿宋_GB2312" w:cs="Times New Roman"/>
          <w:b w:val="0"/>
          <w:bCs w:val="0"/>
          <w:sz w:val="32"/>
          <w:szCs w:val="32"/>
          <w:vertAlign w:val="baseline"/>
          <w:lang w:val="en-US" w:eastAsia="zh-CN"/>
        </w:rPr>
        <w:t>政策法规的覆盖情况，聚焦当前保护发展中面临的制度供给不足、政策协同不够等问题，探索构建</w:t>
      </w:r>
      <w:r>
        <w:rPr>
          <w:rFonts w:hint="eastAsia" w:ascii="Times New Roman" w:hAnsi="Times New Roman" w:eastAsia="仿宋_GB2312" w:cs="Times New Roman"/>
          <w:b w:val="0"/>
          <w:bCs w:val="0"/>
          <w:sz w:val="32"/>
          <w:szCs w:val="32"/>
          <w:vertAlign w:val="baseline"/>
          <w:lang w:val="en-US" w:eastAsia="zh-CN"/>
        </w:rPr>
        <w:t>促进遗产地保护与利用的</w:t>
      </w:r>
      <w:r>
        <w:rPr>
          <w:rFonts w:hint="default" w:ascii="Times New Roman" w:hAnsi="Times New Roman" w:eastAsia="仿宋_GB2312" w:cs="Times New Roman"/>
          <w:b w:val="0"/>
          <w:bCs w:val="0"/>
          <w:sz w:val="32"/>
          <w:szCs w:val="32"/>
          <w:vertAlign w:val="baseline"/>
          <w:lang w:val="en-US" w:eastAsia="zh-CN"/>
        </w:rPr>
        <w:t>政策法规框架，推动形成以法律</w:t>
      </w:r>
      <w:r>
        <w:rPr>
          <w:rFonts w:hint="eastAsia" w:ascii="Times New Roman" w:hAnsi="Times New Roman" w:eastAsia="仿宋_GB2312" w:cs="Times New Roman"/>
          <w:b w:val="0"/>
          <w:bCs w:val="0"/>
          <w:sz w:val="32"/>
          <w:szCs w:val="32"/>
          <w:vertAlign w:val="baseline"/>
          <w:lang w:val="en-US" w:eastAsia="zh-CN"/>
        </w:rPr>
        <w:t>制度</w:t>
      </w:r>
      <w:r>
        <w:rPr>
          <w:rFonts w:hint="default" w:ascii="Times New Roman" w:hAnsi="Times New Roman" w:eastAsia="仿宋_GB2312" w:cs="Times New Roman"/>
          <w:b w:val="0"/>
          <w:bCs w:val="0"/>
          <w:sz w:val="32"/>
          <w:szCs w:val="32"/>
          <w:vertAlign w:val="baseline"/>
          <w:lang w:val="en-US" w:eastAsia="zh-CN"/>
        </w:rPr>
        <w:t>保障为</w:t>
      </w:r>
      <w:r>
        <w:rPr>
          <w:rFonts w:hint="eastAsia" w:ascii="Times New Roman" w:hAnsi="Times New Roman" w:eastAsia="仿宋_GB2312" w:cs="Times New Roman"/>
          <w:b w:val="0"/>
          <w:bCs w:val="0"/>
          <w:sz w:val="32"/>
          <w:szCs w:val="32"/>
          <w:vertAlign w:val="baseline"/>
          <w:lang w:val="en-US" w:eastAsia="zh-CN"/>
        </w:rPr>
        <w:t>基础</w:t>
      </w:r>
      <w:r>
        <w:rPr>
          <w:rFonts w:hint="default" w:ascii="Times New Roman" w:hAnsi="Times New Roman" w:eastAsia="仿宋_GB2312" w:cs="Times New Roman"/>
          <w:b w:val="0"/>
          <w:bCs w:val="0"/>
          <w:sz w:val="32"/>
          <w:szCs w:val="32"/>
          <w:vertAlign w:val="baseline"/>
          <w:lang w:val="en-US" w:eastAsia="zh-CN"/>
        </w:rPr>
        <w:t>、以保护传承为导向、以公共服务为支撑的协同治理格局。</w:t>
      </w:r>
    </w:p>
    <w:p w14:paraId="4DF2AA8D">
      <w:pPr>
        <w:keepNext w:val="0"/>
        <w:keepLines w:val="0"/>
        <w:pageBreakBefore w:val="0"/>
        <w:widowControl w:val="0"/>
        <w:numPr>
          <w:ilvl w:val="0"/>
          <w:numId w:val="1"/>
        </w:numPr>
        <w:kinsoku/>
        <w:wordWrap/>
        <w:overflowPunct w:val="0"/>
        <w:topLinePunct w:val="0"/>
        <w:autoSpaceDE/>
        <w:autoSpaceDN/>
        <w:bidi w:val="0"/>
        <w:adjustRightInd/>
        <w:snapToGrid/>
        <w:spacing w:line="620" w:lineRule="exact"/>
        <w:ind w:left="0" w:leftChars="0" w:firstLine="643" w:firstLineChars="200"/>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农耕文明探源与我国全球重要农业文化遗产的核心传承价值研究</w:t>
      </w:r>
    </w:p>
    <w:p w14:paraId="70D988AF">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textAlignment w:val="auto"/>
        <w:rPr>
          <w:rFonts w:hint="eastAsia" w:ascii="Times New Roman" w:hAnsi="Times New Roman" w:cs="Times New Roman"/>
          <w:b w:val="0"/>
          <w:bCs w:val="0"/>
          <w:sz w:val="32"/>
          <w:szCs w:val="32"/>
          <w:vertAlign w:val="baseline"/>
          <w:lang w:val="en-US" w:eastAsia="zh-CN"/>
        </w:rPr>
      </w:pPr>
      <w:r>
        <w:rPr>
          <w:rFonts w:hint="eastAsia" w:ascii="Times New Roman" w:hAnsi="Times New Roman" w:eastAsia="仿宋_GB2312" w:cs="Times New Roman"/>
          <w:b w:val="0"/>
          <w:bCs w:val="0"/>
          <w:sz w:val="32"/>
          <w:szCs w:val="32"/>
          <w:vertAlign w:val="baseline"/>
          <w:lang w:val="en-US" w:eastAsia="zh-CN"/>
        </w:rPr>
        <w:t>溯源中华农耕文明的历史演进脉络，厘清我国全球重要农业文化遗产的核心价值内涵与传承发展现状，深入阐释全球重要农业文化遗产作为农耕文明“活态”载体在传承生态智慧及塑造乡土精神中的作用与贡献，创新推动我国全球重要农业文化遗产保护与传承。</w:t>
      </w:r>
    </w:p>
    <w:p w14:paraId="2702F330">
      <w:pPr>
        <w:pStyle w:val="2"/>
        <w:numPr>
          <w:ilvl w:val="0"/>
          <w:numId w:val="1"/>
        </w:numPr>
        <w:spacing w:line="620" w:lineRule="exact"/>
        <w:ind w:firstLine="643" w:firstLineChars="200"/>
        <w:textAlignment w:val="baseline"/>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全球重要农业文化遗产开放性研究课题</w:t>
      </w:r>
    </w:p>
    <w:p w14:paraId="3F533C70">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b w:val="0"/>
          <w:bCs w:val="0"/>
          <w:sz w:val="32"/>
          <w:szCs w:val="32"/>
          <w:vertAlign w:val="baseline"/>
          <w:lang w:val="en-US" w:eastAsia="zh-CN"/>
        </w:rPr>
      </w:pPr>
      <w:r>
        <w:rPr>
          <w:rFonts w:hint="eastAsia" w:ascii="Times New Roman" w:hAnsi="Times New Roman" w:eastAsia="仿宋_GB2312" w:cs="Times New Roman"/>
          <w:bCs/>
          <w:kern w:val="0"/>
          <w:sz w:val="32"/>
          <w:szCs w:val="32"/>
        </w:rPr>
        <w:t>以推进乡村全面振兴和农业强国建设为主要目标，以解决</w:t>
      </w:r>
      <w:r>
        <w:rPr>
          <w:rFonts w:hint="eastAsia" w:ascii="Times New Roman" w:hAnsi="Times New Roman" w:eastAsia="仿宋_GB2312" w:cs="Times New Roman"/>
          <w:bCs/>
          <w:kern w:val="0"/>
          <w:sz w:val="32"/>
          <w:szCs w:val="32"/>
          <w:lang w:eastAsia="zh-CN"/>
        </w:rPr>
        <w:t>全球重要农业文化遗产</w:t>
      </w:r>
      <w:r>
        <w:rPr>
          <w:rFonts w:hint="eastAsia" w:ascii="Times New Roman" w:hAnsi="Times New Roman" w:eastAsia="仿宋_GB2312" w:cs="Times New Roman"/>
          <w:bCs/>
          <w:kern w:val="0"/>
          <w:sz w:val="32"/>
          <w:szCs w:val="32"/>
        </w:rPr>
        <w:t>事业发展瓶颈问题为切口，以遗产动态保护和可持续利用为重要途径，</w:t>
      </w:r>
      <w:r>
        <w:rPr>
          <w:rFonts w:hint="eastAsia" w:ascii="Times New Roman" w:hAnsi="Times New Roman" w:eastAsia="仿宋_GB2312" w:cs="Times New Roman"/>
          <w:bCs/>
          <w:kern w:val="0"/>
          <w:sz w:val="32"/>
          <w:szCs w:val="32"/>
          <w:lang w:eastAsia="zh-CN"/>
        </w:rPr>
        <w:t>拓宽国际视野，</w:t>
      </w:r>
      <w:r>
        <w:rPr>
          <w:rFonts w:hint="eastAsia" w:ascii="Times New Roman" w:hAnsi="Times New Roman" w:eastAsia="仿宋_GB2312" w:cs="Times New Roman"/>
          <w:bCs/>
          <w:kern w:val="0"/>
          <w:sz w:val="32"/>
          <w:szCs w:val="32"/>
        </w:rPr>
        <w:t>自行选题，突出研究的重要性、紧迫性和可行性，开展深入调查分析并提出科学的解决办法，推动新阶段</w:t>
      </w:r>
      <w:r>
        <w:rPr>
          <w:rFonts w:hint="eastAsia" w:ascii="Times New Roman" w:hAnsi="Times New Roman" w:eastAsia="仿宋_GB2312" w:cs="Times New Roman"/>
          <w:bCs/>
          <w:kern w:val="0"/>
          <w:sz w:val="32"/>
          <w:szCs w:val="32"/>
          <w:lang w:eastAsia="zh-CN"/>
        </w:rPr>
        <w:t>全球重要农业文化遗产</w:t>
      </w:r>
      <w:r>
        <w:rPr>
          <w:rFonts w:hint="eastAsia" w:ascii="Times New Roman" w:hAnsi="Times New Roman" w:eastAsia="仿宋_GB2312" w:cs="Times New Roman"/>
          <w:bCs/>
          <w:kern w:val="0"/>
          <w:sz w:val="32"/>
          <w:szCs w:val="32"/>
        </w:rPr>
        <w:t>事业高质量发展。</w:t>
      </w:r>
    </w:p>
    <w:p w14:paraId="7ACBA93B">
      <w:pPr>
        <w:numPr>
          <w:ilvl w:val="0"/>
          <w:numId w:val="2"/>
        </w:numPr>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国际葡萄与葡萄酒组织</w:t>
      </w:r>
      <w:r>
        <w:rPr>
          <w:rFonts w:hint="default" w:ascii="Times New Roman" w:hAnsi="Times New Roman" w:eastAsia="黑体" w:cs="Times New Roman"/>
          <w:sz w:val="32"/>
          <w:szCs w:val="32"/>
          <w:lang w:val="en-US" w:eastAsia="zh-CN"/>
        </w:rPr>
        <w:t>规则对接、标准转化与产业高质量发展</w:t>
      </w:r>
    </w:p>
    <w:p w14:paraId="373D1466">
      <w:pPr>
        <w:pStyle w:val="2"/>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firstLine="643" w:firstLineChars="200"/>
        <w:textAlignment w:val="baseline"/>
        <w:rPr>
          <w:rFonts w:hint="eastAsia" w:ascii="楷体_GB2312" w:hAnsi="楷体_GB2312" w:eastAsia="楷体_GB2312" w:cs="楷体_GB2312"/>
          <w:b/>
          <w:bCs/>
          <w:sz w:val="32"/>
          <w:szCs w:val="32"/>
          <w:lang w:val="en-US" w:eastAsia="zh-CN"/>
        </w:rPr>
      </w:pPr>
      <w:r>
        <w:rPr>
          <w:rFonts w:hint="default" w:ascii="Times New Roman" w:hAnsi="Times New Roman" w:eastAsia="楷体_GB2312" w:cs="Times New Roman"/>
          <w:b/>
          <w:bCs/>
          <w:kern w:val="2"/>
          <w:sz w:val="32"/>
          <w:szCs w:val="32"/>
          <w:lang w:val="en-US" w:eastAsia="zh-CN" w:bidi="ar-SA"/>
        </w:rPr>
        <w:t>1.</w:t>
      </w:r>
      <w:r>
        <w:rPr>
          <w:rFonts w:hint="eastAsia" w:ascii="Times New Roman" w:hAnsi="Times New Roman" w:eastAsia="楷体_GB2312" w:cs="Times New Roman"/>
          <w:b/>
          <w:bCs/>
          <w:kern w:val="2"/>
          <w:sz w:val="32"/>
          <w:szCs w:val="32"/>
          <w:lang w:val="en-US" w:eastAsia="zh-CN" w:bidi="ar-SA"/>
        </w:rPr>
        <w:t xml:space="preserve"> </w:t>
      </w:r>
      <w:r>
        <w:rPr>
          <w:rFonts w:hint="default" w:ascii="Times New Roman" w:hAnsi="Times New Roman" w:eastAsia="楷体_GB2312" w:cs="Times New Roman"/>
          <w:b/>
          <w:bCs/>
          <w:sz w:val="32"/>
          <w:szCs w:val="32"/>
          <w:lang w:val="en-US" w:eastAsia="zh-CN"/>
        </w:rPr>
        <w:t>国际葡萄与葡萄酒组织</w:t>
      </w:r>
      <w:r>
        <w:rPr>
          <w:rFonts w:hint="eastAsia" w:ascii="Times New Roman" w:hAnsi="Times New Roman" w:eastAsia="楷体_GB2312" w:cs="Times New Roman"/>
          <w:b/>
          <w:bCs/>
          <w:sz w:val="32"/>
          <w:szCs w:val="32"/>
          <w:lang w:val="en-US" w:eastAsia="zh-CN"/>
        </w:rPr>
        <w:t>（OIV）</w:t>
      </w:r>
      <w:r>
        <w:rPr>
          <w:rFonts w:hint="eastAsia" w:ascii="楷体_GB2312" w:hAnsi="楷体_GB2312" w:eastAsia="楷体_GB2312" w:cs="楷体_GB2312"/>
          <w:b/>
          <w:bCs/>
          <w:sz w:val="32"/>
          <w:szCs w:val="32"/>
          <w:lang w:val="en-US" w:eastAsia="zh-CN"/>
        </w:rPr>
        <w:t>现行规则体系与中国葡萄酒产业规则体系比较研究</w:t>
      </w:r>
    </w:p>
    <w:p w14:paraId="02D3E0B3">
      <w:pPr>
        <w:pStyle w:val="2"/>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firstLine="640" w:firstLineChars="200"/>
        <w:jc w:val="both"/>
        <w:textAlignment w:val="baseline"/>
        <w:rPr>
          <w:rFonts w:hint="eastAsia" w:ascii="Times New Roman" w:hAnsi="Times New Roman"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系统梳理OIV现行发布的核心国际标准，与我国葡萄酒产业现行标准及发展实际对标对表，聚焦中国加入OIV后的政策衔接核心问题，深入剖析我国产业在对标OIV标准中存在的短板、漏洞，全面梳理国内葡萄与葡萄酒产业现行法律法规、产业政策、监管机制与OIV国际准则的差异，探究政策落地的配套保障措施，助力产业平稳对接国际标准</w:t>
      </w:r>
      <w:r>
        <w:rPr>
          <w:rFonts w:hint="eastAsia" w:ascii="Times New Roman" w:hAnsi="Times New Roman" w:cs="Times New Roman"/>
          <w:b w:val="0"/>
          <w:bCs w:val="0"/>
          <w:sz w:val="32"/>
          <w:szCs w:val="32"/>
          <w:vertAlign w:val="baseline"/>
          <w:lang w:val="en-US" w:eastAsia="zh-CN"/>
        </w:rPr>
        <w:t>。</w:t>
      </w:r>
    </w:p>
    <w:p w14:paraId="398CFB66">
      <w:pPr>
        <w:pStyle w:val="2"/>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firstLine="643" w:firstLineChars="200"/>
        <w:jc w:val="both"/>
        <w:textAlignment w:val="baseline"/>
        <w:rPr>
          <w:rFonts w:hint="eastAsia" w:ascii="楷体_GB2312" w:hAnsi="楷体_GB2312" w:eastAsia="楷体_GB2312" w:cs="楷体_GB2312"/>
          <w:b/>
          <w:bCs/>
          <w:sz w:val="32"/>
          <w:szCs w:val="32"/>
          <w:vertAlign w:val="baseline"/>
          <w:lang w:val="en-US" w:eastAsia="zh-CN"/>
        </w:rPr>
      </w:pPr>
      <w:r>
        <w:rPr>
          <w:rFonts w:hint="default" w:ascii="Times New Roman" w:hAnsi="Times New Roman" w:eastAsia="楷体_GB2312" w:cs="Times New Roman"/>
          <w:b/>
          <w:bCs/>
          <w:kern w:val="2"/>
          <w:sz w:val="32"/>
          <w:szCs w:val="32"/>
          <w:vertAlign w:val="baseline"/>
          <w:lang w:val="en-US" w:eastAsia="zh-CN" w:bidi="ar-SA"/>
        </w:rPr>
        <w:t>2.</w:t>
      </w:r>
      <w:r>
        <w:rPr>
          <w:rFonts w:hint="eastAsia" w:ascii="Times New Roman" w:hAnsi="Times New Roman" w:eastAsia="楷体_GB2312" w:cs="Times New Roman"/>
          <w:b/>
          <w:bCs/>
          <w:kern w:val="2"/>
          <w:sz w:val="32"/>
          <w:szCs w:val="32"/>
          <w:vertAlign w:val="baseline"/>
          <w:lang w:val="en-US" w:eastAsia="zh-CN" w:bidi="ar-SA"/>
        </w:rPr>
        <w:t xml:space="preserve"> </w:t>
      </w:r>
      <w:r>
        <w:rPr>
          <w:rFonts w:hint="eastAsia" w:ascii="楷体_GB2312" w:hAnsi="楷体_GB2312" w:eastAsia="楷体_GB2312" w:cs="楷体_GB2312"/>
          <w:b/>
          <w:bCs/>
          <w:sz w:val="32"/>
          <w:szCs w:val="32"/>
          <w:vertAlign w:val="baseline"/>
          <w:lang w:val="en-US" w:eastAsia="zh-CN"/>
        </w:rPr>
        <w:t>中国酿酒葡萄品种分布态势与产区特色化发展研究</w:t>
      </w:r>
    </w:p>
    <w:p w14:paraId="28AEEFD3">
      <w:pPr>
        <w:pStyle w:val="2"/>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baseline"/>
        <w:rPr>
          <w:rFonts w:hint="eastAsia" w:ascii="Times New Roman" w:hAnsi="Times New Roman" w:cs="Times New Roman"/>
          <w:b w:val="0"/>
          <w:bCs w:val="0"/>
          <w:sz w:val="32"/>
          <w:szCs w:val="32"/>
          <w:vertAlign w:val="baseline"/>
          <w:lang w:val="en-US" w:eastAsia="zh-CN"/>
        </w:rPr>
      </w:pPr>
      <w:r>
        <w:rPr>
          <w:rFonts w:hint="default" w:ascii="Times New Roman" w:hAnsi="Times New Roman" w:eastAsia="仿宋_GB2312" w:cs="Times New Roman"/>
          <w:b w:val="0"/>
          <w:bCs w:val="0"/>
          <w:sz w:val="32"/>
          <w:szCs w:val="32"/>
          <w:vertAlign w:val="baseline"/>
          <w:lang w:val="en-US" w:eastAsia="zh-CN"/>
        </w:rPr>
        <w:t>摸清主要产区不同酿酒品种的种植面积，与OIV统计接轨，了解我国酿酒葡萄品种发展态势，前瞻3</w:t>
      </w:r>
      <w:r>
        <w:rPr>
          <w:rFonts w:hint="eastAsia" w:ascii="Times New Roman" w:hAnsi="Times New Roman" w:cs="Times New Roman"/>
          <w:b w:val="0"/>
          <w:bCs w:val="0"/>
          <w:sz w:val="32"/>
          <w:szCs w:val="32"/>
          <w:vertAlign w:val="baseline"/>
          <w:lang w:val="en-US" w:eastAsia="zh-CN"/>
        </w:rPr>
        <w:t>—</w:t>
      </w:r>
      <w:r>
        <w:rPr>
          <w:rFonts w:hint="default" w:ascii="Times New Roman" w:hAnsi="Times New Roman" w:eastAsia="仿宋_GB2312" w:cs="Times New Roman"/>
          <w:b w:val="0"/>
          <w:bCs w:val="0"/>
          <w:sz w:val="32"/>
          <w:szCs w:val="32"/>
          <w:vertAlign w:val="baseline"/>
          <w:lang w:val="en-US" w:eastAsia="zh-CN"/>
        </w:rPr>
        <w:t>5年我国葡萄酒结构的变化，制定产业发展和引导政策</w:t>
      </w:r>
      <w:r>
        <w:rPr>
          <w:rFonts w:hint="eastAsia" w:ascii="Times New Roman" w:hAnsi="Times New Roman" w:cs="Times New Roman"/>
          <w:b w:val="0"/>
          <w:bCs w:val="0"/>
          <w:sz w:val="32"/>
          <w:szCs w:val="32"/>
          <w:vertAlign w:val="baseline"/>
          <w:lang w:val="en-US" w:eastAsia="zh-CN"/>
        </w:rPr>
        <w:t>，</w:t>
      </w:r>
      <w:r>
        <w:rPr>
          <w:rFonts w:hint="default" w:ascii="Times New Roman" w:hAnsi="Times New Roman" w:eastAsia="仿宋_GB2312" w:cs="Times New Roman"/>
          <w:b w:val="0"/>
          <w:bCs w:val="0"/>
          <w:sz w:val="32"/>
          <w:szCs w:val="32"/>
          <w:vertAlign w:val="baseline"/>
          <w:lang w:val="en-US" w:eastAsia="zh-CN"/>
        </w:rPr>
        <w:t>探究产区集群化发展模式，推动产区资源整合、品质升级与品牌塑造，提升我国葡萄酒产区国际影响力</w:t>
      </w:r>
      <w:r>
        <w:rPr>
          <w:rFonts w:hint="eastAsia" w:ascii="Times New Roman" w:hAnsi="Times New Roman" w:cs="Times New Roman"/>
          <w:b w:val="0"/>
          <w:bCs w:val="0"/>
          <w:sz w:val="32"/>
          <w:szCs w:val="32"/>
          <w:vertAlign w:val="baseline"/>
          <w:lang w:val="en-US" w:eastAsia="zh-CN"/>
        </w:rPr>
        <w:t>。</w:t>
      </w:r>
    </w:p>
    <w:p w14:paraId="167FE641">
      <w:pPr>
        <w:pStyle w:val="2"/>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firstLine="640" w:firstLineChars="200"/>
        <w:jc w:val="both"/>
        <w:textAlignment w:val="baseline"/>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三、全球关键农产品与农资物流航道图谱、承载力及我国农业产业链供应链安全风险研究</w:t>
      </w:r>
    </w:p>
    <w:p w14:paraId="0278419A">
      <w:pPr>
        <w:pStyle w:val="6"/>
        <w:keepNext w:val="0"/>
        <w:keepLines w:val="0"/>
        <w:pageBreakBefore w:val="0"/>
        <w:widowControl w:val="0"/>
        <w:kinsoku/>
        <w:wordWrap/>
        <w:overflowPunct/>
        <w:topLinePunct w:val="0"/>
        <w:autoSpaceDE/>
        <w:autoSpaceDN/>
        <w:bidi w:val="0"/>
        <w:adjustRightInd w:val="0"/>
        <w:snapToGrid w:val="0"/>
        <w:spacing w:after="0" w:line="360" w:lineRule="auto"/>
        <w:rPr>
          <w:rFonts w:hint="eastAsia" w:ascii="Times New Roman" w:hAnsi="Times New Roman"/>
          <w:bCs/>
          <w:sz w:val="32"/>
          <w:szCs w:val="32"/>
          <w:lang w:val="en-US" w:eastAsia="zh-CN"/>
        </w:rPr>
      </w:pPr>
      <w:r>
        <w:rPr>
          <w:rFonts w:hint="eastAsia" w:ascii="Times New Roman" w:hAnsi="Times New Roman" w:eastAsia="仿宋_GB2312" w:cs="Times New Roman"/>
          <w:b w:val="0"/>
          <w:bCs w:val="0"/>
          <w:sz w:val="32"/>
          <w:szCs w:val="32"/>
          <w:vertAlign w:val="baseline"/>
          <w:lang w:val="en-US" w:eastAsia="zh-CN"/>
        </w:rPr>
        <w:t>摸排全球核心物流航道及枢纽港的涉农物资流通情况，梳理大豆、谷物、化肥等关键品类的全球贸易流向图谱，分析各航道对我</w:t>
      </w:r>
      <w:r>
        <w:rPr>
          <w:rFonts w:hint="eastAsia" w:ascii="Times New Roman" w:hAnsi="Times New Roman" w:eastAsia="仿宋_GB2312" w:cs="Times New Roman"/>
          <w:b w:val="0"/>
          <w:bCs w:val="0"/>
          <w:sz w:val="32"/>
          <w:szCs w:val="32"/>
          <w:highlight w:val="none"/>
          <w:vertAlign w:val="baseline"/>
          <w:lang w:val="en-US" w:eastAsia="zh-CN"/>
        </w:rPr>
        <w:t>国农业品类流通的</w:t>
      </w:r>
      <w:r>
        <w:rPr>
          <w:rFonts w:hint="eastAsia" w:ascii="Times New Roman" w:hAnsi="Times New Roman" w:eastAsia="仿宋_GB2312" w:cs="Times New Roman"/>
          <w:b w:val="0"/>
          <w:bCs w:val="0"/>
          <w:sz w:val="32"/>
          <w:szCs w:val="32"/>
          <w:vertAlign w:val="baseline"/>
          <w:lang w:val="en-US" w:eastAsia="zh-CN"/>
        </w:rPr>
        <w:t>承载能力与贡献度，研判全球物流波动对我国重要农产品及农业生产资料等产业链供应链的潜在风险，为推动全球农业物流韧性保障机制建设提供理论支撑。</w:t>
      </w:r>
      <w:bookmarkStart w:id="0" w:name="_GoBack"/>
      <w:bookmarkEnd w:id="0"/>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47DEB8"/>
    <w:multiLevelType w:val="singleLevel"/>
    <w:tmpl w:val="2547DEB8"/>
    <w:lvl w:ilvl="0" w:tentative="0">
      <w:start w:val="1"/>
      <w:numFmt w:val="decimal"/>
      <w:suff w:val="space"/>
      <w:lvlText w:val="%1."/>
      <w:lvlJc w:val="left"/>
      <w:rPr>
        <w:rFonts w:hint="default" w:ascii="Times New Roman" w:hAnsi="Times New Roman" w:cs="Times New Roman"/>
        <w:sz w:val="32"/>
        <w:szCs w:val="32"/>
      </w:rPr>
    </w:lvl>
  </w:abstractNum>
  <w:abstractNum w:abstractNumId="1">
    <w:nsid w:val="6110D3F9"/>
    <w:multiLevelType w:val="singleLevel"/>
    <w:tmpl w:val="6110D3F9"/>
    <w:lvl w:ilvl="0" w:tentative="0">
      <w:start w:val="2"/>
      <w:numFmt w:val="chineseCounting"/>
      <w:suff w:val="nothing"/>
      <w:lvlText w:val="%1、"/>
      <w:lvlJc w:val="left"/>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8561A"/>
    <w:rsid w:val="18497DFC"/>
    <w:rsid w:val="1B053AAB"/>
    <w:rsid w:val="3398561A"/>
    <w:rsid w:val="46CC3936"/>
    <w:rsid w:val="67196102"/>
    <w:rsid w:val="672C74D4"/>
    <w:rsid w:val="6EB22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BodyText"/>
    <w:basedOn w:val="1"/>
    <w:qFormat/>
    <w:uiPriority w:val="0"/>
    <w:pPr>
      <w:spacing w:after="120"/>
      <w:textAlignment w:val="baseline"/>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2010</Words>
  <Characters>2036</Characters>
  <Lines>0</Lines>
  <Paragraphs>0</Paragraphs>
  <TotalTime>0</TotalTime>
  <ScaleCrop>false</ScaleCrop>
  <LinksUpToDate>false</LinksUpToDate>
  <CharactersWithSpaces>2274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2026-04-03T08:19:00Z</dcterms:created>
  <dc:creator>周天蕙</dc:creator>
  <cp:lastModifiedBy>luotong</cp:lastModifiedBy>
  <cp:lastPrinted>2026-04-03T08:32:00Z</cp:lastPrinted>
  <dcterms:modified xsi:type="dcterms:W3CDTF">2026-04-03T09:02:58Z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3820D615B0004746B010AC7D48B1AA05_11</vt:lpwstr>
  </property>
  <property fmtid="{D5CDD505-2E9C-101B-9397-08002B2CF9AE}" pid="4" name="KSOTemplateDocerSaveRecord">
    <vt:lpwstr>eyJoZGlkIjoiM2QxZjY2MmZhZTM2N2RkYTMwYmFjMzI3NGQ3ZTUyZDYiLCJ1c2VySWQiOiIxMzk1NDkyMTcyIn0=</vt:lpwstr>
  </property>
</Properties>
</file>