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8396"/>
      </w:tblGrid>
      <w:tr w:rsidR="00A333F8" w:rsidRPr="001A21A5" w:rsidTr="00950CBA">
        <w:trPr>
          <w:tblCellSpacing w:w="15" w:type="dxa"/>
          <w:jc w:val="center"/>
        </w:trPr>
        <w:tc>
          <w:tcPr>
            <w:tcW w:w="0" w:type="auto"/>
            <w:shd w:val="clear" w:color="auto" w:fill="FFFFFF"/>
            <w:vAlign w:val="center"/>
          </w:tcPr>
          <w:p w:rsidR="00A333F8" w:rsidRPr="00A333F8" w:rsidRDefault="00A333F8" w:rsidP="00A333F8">
            <w:pPr>
              <w:spacing w:line="360" w:lineRule="auto"/>
              <w:ind w:firstLineChars="200" w:firstLine="723"/>
              <w:jc w:val="center"/>
              <w:rPr>
                <w:rFonts w:ascii="宋体" w:hAnsi="宋体" w:hint="eastAsia"/>
                <w:b/>
                <w:sz w:val="36"/>
                <w:szCs w:val="36"/>
              </w:rPr>
            </w:pPr>
            <w:bookmarkStart w:id="0" w:name="_GoBack"/>
            <w:bookmarkEnd w:id="0"/>
            <w:r w:rsidRPr="00A333F8">
              <w:rPr>
                <w:rFonts w:ascii="宋体" w:hAnsi="宋体" w:hint="eastAsia"/>
                <w:b/>
                <w:sz w:val="36"/>
                <w:szCs w:val="36"/>
              </w:rPr>
              <w:t>水产苗种进口免税政策实施细则</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 </w:t>
            </w:r>
          </w:p>
          <w:p w:rsidR="00A333F8" w:rsidRPr="00A333F8" w:rsidRDefault="00A333F8" w:rsidP="00A333F8">
            <w:pPr>
              <w:spacing w:line="360" w:lineRule="auto"/>
              <w:ind w:firstLineChars="200" w:firstLine="482"/>
              <w:rPr>
                <w:rFonts w:ascii="宋体" w:hAnsi="宋体" w:hint="eastAsia"/>
                <w:b/>
                <w:sz w:val="24"/>
              </w:rPr>
            </w:pPr>
            <w:r w:rsidRPr="00A333F8">
              <w:rPr>
                <w:rFonts w:ascii="宋体" w:hAnsi="宋体" w:hint="eastAsia"/>
                <w:b/>
                <w:sz w:val="24"/>
              </w:rPr>
              <w:t>一、免税审批程序</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水产苗种进口免税，应当依据有关法律法规要求，按照农业部行政审批综合办公办事指南规定的条件程序进行申报和审批。</w:t>
            </w:r>
          </w:p>
          <w:p w:rsidR="00A333F8" w:rsidRPr="00A333F8" w:rsidRDefault="00A333F8" w:rsidP="00A333F8">
            <w:pPr>
              <w:spacing w:line="360" w:lineRule="auto"/>
              <w:ind w:firstLineChars="200" w:firstLine="482"/>
              <w:rPr>
                <w:rFonts w:ascii="宋体" w:hAnsi="宋体" w:hint="eastAsia"/>
                <w:b/>
                <w:sz w:val="24"/>
              </w:rPr>
            </w:pPr>
            <w:r w:rsidRPr="00A333F8">
              <w:rPr>
                <w:rFonts w:ascii="宋体" w:hAnsi="宋体" w:hint="eastAsia"/>
                <w:b/>
                <w:sz w:val="24"/>
              </w:rPr>
              <w:t>二、免税审批原则</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（一）在财政部、海关总署、国家税务总局核定的年度免税品种、数量范围内审批；</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（二）享受免税进口政策的水产苗种必须直接用于或服务于水产养殖生产的水产苗种，不得用于度假村或俱乐部等高档消费场所；</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（三）对于未在上一年度申报水产苗种免税进口计划的企业的申请，原则上不予批准；</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（四）同等条件下，按照免税申请受理时间顺序批准使用免税计划。</w:t>
            </w:r>
          </w:p>
          <w:p w:rsidR="00A333F8" w:rsidRPr="00A333F8" w:rsidRDefault="00A333F8" w:rsidP="00A333F8">
            <w:pPr>
              <w:spacing w:line="360" w:lineRule="auto"/>
              <w:ind w:firstLineChars="200" w:firstLine="482"/>
              <w:rPr>
                <w:rFonts w:ascii="宋体" w:hAnsi="宋体" w:hint="eastAsia"/>
                <w:b/>
                <w:sz w:val="24"/>
              </w:rPr>
            </w:pPr>
            <w:r w:rsidRPr="00A333F8">
              <w:rPr>
                <w:rFonts w:ascii="宋体" w:hAnsi="宋体" w:hint="eastAsia"/>
                <w:b/>
                <w:sz w:val="24"/>
              </w:rPr>
              <w:t>三、其他事项</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一）水产苗种免税进口单位应当自海关放行之日起10个工作日内，将实际引进水产苗种的情况（包括品种、数量、交易金额、免税金额、农业部审批编号及进口苗种最终用途等内容），以及海关报关单复印件报省级渔业行政主管部门和农业部渔业局备案。</w:t>
            </w:r>
          </w:p>
          <w:p w:rsidR="00A333F8" w:rsidRPr="00A333F8" w:rsidRDefault="00A333F8" w:rsidP="00A333F8">
            <w:pPr>
              <w:spacing w:line="360" w:lineRule="auto"/>
              <w:ind w:firstLineChars="200" w:firstLine="480"/>
              <w:rPr>
                <w:rFonts w:ascii="宋体" w:hAnsi="宋体" w:hint="eastAsia"/>
                <w:sz w:val="24"/>
              </w:rPr>
            </w:pPr>
            <w:r w:rsidRPr="00A333F8">
              <w:rPr>
                <w:rFonts w:ascii="宋体" w:hAnsi="宋体" w:hint="eastAsia"/>
                <w:sz w:val="24"/>
              </w:rPr>
              <w:t>因生产计划变动等原因，已获得审批但实际</w:t>
            </w:r>
            <w:proofErr w:type="gramStart"/>
            <w:r w:rsidRPr="00A333F8">
              <w:rPr>
                <w:rFonts w:ascii="宋体" w:hAnsi="宋体" w:hint="eastAsia"/>
                <w:sz w:val="24"/>
              </w:rPr>
              <w:t>未进口</w:t>
            </w:r>
            <w:proofErr w:type="gramEnd"/>
            <w:r w:rsidRPr="00A333F8">
              <w:rPr>
                <w:rFonts w:ascii="宋体" w:hAnsi="宋体" w:hint="eastAsia"/>
                <w:sz w:val="24"/>
              </w:rPr>
              <w:t>的，须将审批表退还农业部渔业局并说明原因。未按规定备案或退还审批表的，在补报相关材料之前暂停其免税进口审批。</w:t>
            </w:r>
          </w:p>
          <w:p w:rsidR="00A333F8" w:rsidRPr="00A333F8" w:rsidRDefault="00A333F8" w:rsidP="00A333F8">
            <w:pPr>
              <w:spacing w:line="360" w:lineRule="auto"/>
              <w:ind w:firstLineChars="200" w:firstLine="480"/>
              <w:rPr>
                <w:rFonts w:ascii="宋体" w:hAnsi="宋体"/>
                <w:sz w:val="24"/>
              </w:rPr>
            </w:pPr>
            <w:r w:rsidRPr="00A333F8">
              <w:rPr>
                <w:rFonts w:ascii="宋体" w:hAnsi="宋体" w:hint="eastAsia"/>
                <w:sz w:val="24"/>
              </w:rPr>
              <w:t>（二）免税进口的水产苗种未经合理培育或养殖不得转让或挪作它用。对违反规定的进口单位，若经查实，暂停其1-3年免税进口资格。</w:t>
            </w:r>
          </w:p>
        </w:tc>
      </w:tr>
    </w:tbl>
    <w:p w:rsidR="00A333F8" w:rsidRPr="001A21A5" w:rsidRDefault="00A333F8" w:rsidP="00A333F8">
      <w:pPr>
        <w:spacing w:line="360" w:lineRule="auto"/>
        <w:ind w:firstLineChars="200" w:firstLine="480"/>
        <w:rPr>
          <w:rFonts w:ascii="宋体" w:hAnsi="宋体"/>
          <w:sz w:val="24"/>
        </w:rPr>
      </w:pPr>
    </w:p>
    <w:p w:rsidR="00A333F8" w:rsidRPr="00A333F8" w:rsidRDefault="00A333F8" w:rsidP="00447860">
      <w:pPr>
        <w:spacing w:line="360" w:lineRule="auto"/>
        <w:ind w:firstLineChars="200" w:firstLine="480"/>
        <w:rPr>
          <w:rFonts w:ascii="宋体" w:hAnsi="宋体"/>
          <w:sz w:val="24"/>
        </w:rPr>
      </w:pPr>
    </w:p>
    <w:sectPr w:rsidR="00A333F8" w:rsidRPr="00A333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3B" w:rsidRDefault="00446F3B" w:rsidP="00F12F0B">
      <w:r>
        <w:separator/>
      </w:r>
    </w:p>
  </w:endnote>
  <w:endnote w:type="continuationSeparator" w:id="0">
    <w:p w:rsidR="00446F3B" w:rsidRDefault="00446F3B" w:rsidP="00F1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3B" w:rsidRDefault="00446F3B" w:rsidP="00F12F0B">
      <w:r>
        <w:separator/>
      </w:r>
    </w:p>
  </w:footnote>
  <w:footnote w:type="continuationSeparator" w:id="0">
    <w:p w:rsidR="00446F3B" w:rsidRDefault="00446F3B" w:rsidP="00F1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D5"/>
    <w:rsid w:val="00422B9A"/>
    <w:rsid w:val="004256D5"/>
    <w:rsid w:val="00446F3B"/>
    <w:rsid w:val="00447860"/>
    <w:rsid w:val="004844D3"/>
    <w:rsid w:val="00492694"/>
    <w:rsid w:val="006505FB"/>
    <w:rsid w:val="00707072"/>
    <w:rsid w:val="00816168"/>
    <w:rsid w:val="00854DD6"/>
    <w:rsid w:val="00A333F8"/>
    <w:rsid w:val="00C86FD4"/>
    <w:rsid w:val="00F1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 w:type="character" w:styleId="a8">
    <w:name w:val="FollowedHyperlink"/>
    <w:basedOn w:val="a0"/>
    <w:uiPriority w:val="99"/>
    <w:semiHidden/>
    <w:unhideWhenUsed/>
    <w:rsid w:val="00A333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 w:type="character" w:styleId="a8">
    <w:name w:val="FollowedHyperlink"/>
    <w:basedOn w:val="a0"/>
    <w:uiPriority w:val="99"/>
    <w:semiHidden/>
    <w:unhideWhenUsed/>
    <w:rsid w:val="00A333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2014-04-25T08:33:00Z</dcterms:created>
  <dcterms:modified xsi:type="dcterms:W3CDTF">2014-04-25T08:45:00Z</dcterms:modified>
</cp:coreProperties>
</file>